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2B" w:rsidRDefault="0052562B" w:rsidP="0052562B">
      <w:pPr>
        <w:pStyle w:val="ListParagraph"/>
        <w:ind w:left="0" w:right="119"/>
        <w:contextualSpacing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96089B">
        <w:rPr>
          <w:rFonts w:ascii="TH SarabunPSK" w:hAnsi="TH SarabunPSK" w:cs="TH SarabunPSK"/>
          <w:b/>
          <w:bCs/>
          <w:sz w:val="36"/>
          <w:szCs w:val="36"/>
          <w:cs/>
        </w:rPr>
        <w:t>ลักษณะสำคัญขององค์การ</w:t>
      </w:r>
    </w:p>
    <w:p w:rsidR="003313BD" w:rsidRPr="0096089B" w:rsidRDefault="003313BD" w:rsidP="003313BD">
      <w:pPr>
        <w:pStyle w:val="ListParagraph"/>
        <w:spacing w:before="240"/>
        <w:ind w:left="0" w:right="119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ส่วนราชการ/จังหวัด ..........................................................................</w:t>
      </w:r>
    </w:p>
    <w:p w:rsidR="0052562B" w:rsidRPr="0096089B" w:rsidRDefault="0052562B" w:rsidP="0052562B">
      <w:pPr>
        <w:pStyle w:val="ListParagraph"/>
        <w:ind w:left="0" w:right="119"/>
        <w:contextualSpacing w:val="0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คำอธิบายการตอบคำถาม</w:t>
      </w:r>
    </w:p>
    <w:p w:rsidR="0052562B" w:rsidRPr="0096089B" w:rsidRDefault="0052562B" w:rsidP="0052562B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รายงานลักษณะสำคัญขององค์การ </w:t>
      </w:r>
    </w:p>
    <w:p w:rsidR="0052562B" w:rsidRPr="0096089B" w:rsidRDefault="0052562B" w:rsidP="0052562B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right="119" w:firstLine="144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96089B">
        <w:rPr>
          <w:rFonts w:ascii="TH SarabunPSK" w:hAnsi="TH SarabunPSK" w:cs="TH SarabunPSK"/>
          <w:i/>
          <w:sz w:val="32"/>
          <w:szCs w:val="32"/>
          <w:cs/>
        </w:rPr>
        <w:t xml:space="preserve">ส่วนราชการในที่นี้ หมายถึง </w:t>
      </w:r>
      <w:r w:rsidRPr="0096089B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96089B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96089B">
        <w:rPr>
          <w:rFonts w:ascii="TH SarabunPSK" w:hAnsi="TH SarabunPSK" w:cs="TH SarabunPSK"/>
          <w:i/>
          <w:sz w:val="32"/>
          <w:szCs w:val="32"/>
          <w:cs/>
        </w:rPr>
        <w:t xml:space="preserve"> ที่ดำเนินการตามตัวชี้วัดนี้ </w:t>
      </w:r>
    </w:p>
    <w:p w:rsidR="0052562B" w:rsidRPr="0096089B" w:rsidRDefault="0052562B" w:rsidP="0052562B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right="119" w:firstLine="1440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การจัดทำลักษณะสำคัญขององค์การ ให้ส่วนราชการพิจารณาบทบาทหน้าที่ ผู้รับบริการ หรือการบริหารจัดการครอบคลุมทุกหน่วยงานที่อยู่ในสังกัดของส่วนราชการ</w:t>
      </w:r>
    </w:p>
    <w:p w:rsidR="0052562B" w:rsidRPr="0096089B" w:rsidRDefault="0052562B" w:rsidP="0052562B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right="119" w:firstLine="1440"/>
        <w:jc w:val="thaiDistribute"/>
        <w:rPr>
          <w:rFonts w:ascii="TH SarabunPSK" w:hAnsi="TH SarabunPSK" w:cs="TH SarabunPSK"/>
          <w:iCs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การ</w:t>
      </w:r>
      <w:r w:rsidRPr="0096089B">
        <w:rPr>
          <w:rFonts w:ascii="TH SarabunPSK" w:eastAsia="EucrosiaUPCBold" w:hAnsi="TH SarabunPSK" w:cs="TH SarabunPSK"/>
          <w:snapToGrid w:val="0"/>
          <w:sz w:val="32"/>
          <w:szCs w:val="32"/>
          <w:cs/>
          <w:lang w:eastAsia="th-TH"/>
        </w:rPr>
        <w:t>ตอบคำถามจะต้องพิจารณาถึงการปฏิบัติงานที่มีความเชื่อมโยงและสอดคล้องกันทั้งองค์การตามเกณฑ์คุณภาพการบริหารจัดการภาครัฐ</w:t>
      </w:r>
    </w:p>
    <w:p w:rsidR="0052562B" w:rsidRPr="0096089B" w:rsidRDefault="0052562B" w:rsidP="0052562B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right="119" w:firstLine="1440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คำถาม</w:t>
      </w:r>
      <w:r w:rsidRPr="0096089B">
        <w:rPr>
          <w:rFonts w:ascii="TH SarabunPSK" w:hAnsi="TH SarabunPSK" w:cs="TH SarabunPSK"/>
          <w:i/>
          <w:sz w:val="32"/>
          <w:szCs w:val="32"/>
          <w:cs/>
        </w:rPr>
        <w:t>ที่</w:t>
      </w:r>
      <w:r w:rsidRPr="0096089B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96089B">
        <w:rPr>
          <w:rFonts w:ascii="TH SarabunPSK" w:hAnsi="TH SarabunPSK" w:cs="TH SarabunPSK"/>
          <w:i/>
          <w:sz w:val="32"/>
          <w:szCs w:val="32"/>
          <w:cs/>
        </w:rPr>
        <w:t xml:space="preserve">มีลักษณะงานไม่เกี่ยวข้องกับเรื่องนั้น ให้ตอบว่า </w:t>
      </w:r>
      <w:r w:rsidRPr="0096089B">
        <w:rPr>
          <w:rFonts w:ascii="TH SarabunPSK" w:hAnsi="TH SarabunPSK" w:cs="TH SarabunPSK"/>
          <w:iCs/>
          <w:sz w:val="32"/>
          <w:szCs w:val="32"/>
        </w:rPr>
        <w:t>“</w:t>
      </w:r>
      <w:r w:rsidRPr="0096089B">
        <w:rPr>
          <w:rFonts w:ascii="TH SarabunPSK" w:hAnsi="TH SarabunPSK" w:cs="TH SarabunPSK"/>
          <w:i/>
          <w:sz w:val="32"/>
          <w:szCs w:val="32"/>
          <w:cs/>
        </w:rPr>
        <w:t>ส่วนราชการมีลักษณะงานไม่เกี่ยวข้องกับคำถามในข้อนี้</w:t>
      </w:r>
      <w:r w:rsidRPr="0096089B">
        <w:rPr>
          <w:rFonts w:ascii="TH SarabunPSK" w:hAnsi="TH SarabunPSK" w:cs="TH SarabunPSK"/>
          <w:i/>
          <w:sz w:val="32"/>
          <w:szCs w:val="32"/>
        </w:rPr>
        <w:t>”</w:t>
      </w:r>
    </w:p>
    <w:p w:rsidR="0052562B" w:rsidRPr="0096089B" w:rsidRDefault="0052562B" w:rsidP="0052562B">
      <w:pPr>
        <w:numPr>
          <w:ilvl w:val="2"/>
          <w:numId w:val="1"/>
        </w:numPr>
        <w:tabs>
          <w:tab w:val="clear" w:pos="3600"/>
          <w:tab w:val="num" w:pos="1800"/>
        </w:tabs>
        <w:spacing w:after="0" w:line="240" w:lineRule="auto"/>
        <w:ind w:left="0" w:right="119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i/>
          <w:sz w:val="32"/>
          <w:szCs w:val="32"/>
          <w:cs/>
        </w:rPr>
        <w:t>การตอบคำถาม ให้ส่วนราชการอธิบาย</w:t>
      </w:r>
      <w:r w:rsidRPr="0096089B">
        <w:rPr>
          <w:rFonts w:ascii="TH SarabunPSK" w:hAnsi="TH SarabunPSK" w:cs="TH SarabunPSK"/>
          <w:b/>
          <w:bCs/>
          <w:i/>
          <w:sz w:val="32"/>
          <w:szCs w:val="32"/>
          <w:u w:val="single"/>
          <w:cs/>
        </w:rPr>
        <w:t>บริบทที่สำคัญขององค์การ</w:t>
      </w:r>
      <w:r w:rsidRPr="0096089B">
        <w:rPr>
          <w:rFonts w:ascii="TH SarabunPSK" w:hAnsi="TH SarabunPSK" w:cs="TH SarabunPSK"/>
          <w:i/>
          <w:sz w:val="32"/>
          <w:szCs w:val="32"/>
          <w:cs/>
        </w:rPr>
        <w:t xml:space="preserve">ที่เกี่ยวข้องในแต่ละคำถาม โดยใช้วิธีการพรรณาความ ใช้แผนภาพประกอบ หรือใช้ตาราง ตามความเหมาะสมในแต่ละคำถาม </w:t>
      </w:r>
    </w:p>
    <w:p w:rsidR="0052562B" w:rsidRPr="0096089B" w:rsidRDefault="0052562B" w:rsidP="0052562B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pacing w:after="0" w:line="240" w:lineRule="auto"/>
        <w:ind w:left="1440" w:right="119"/>
        <w:rPr>
          <w:rFonts w:ascii="TH SarabunPSK" w:hAnsi="TH SarabunPSK" w:cs="TH SarabunPSK"/>
          <w:sz w:val="32"/>
          <w:szCs w:val="32"/>
        </w:rPr>
      </w:pPr>
    </w:p>
    <w:p w:rsidR="0052562B" w:rsidRDefault="0052562B" w:rsidP="0052562B">
      <w:pPr>
        <w:ind w:right="11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2562B" w:rsidRPr="0096089B" w:rsidRDefault="00D63E16" w:rsidP="0052562B">
      <w:pPr>
        <w:spacing w:after="0" w:line="240" w:lineRule="auto"/>
        <w:ind w:right="119"/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-74930</wp:posOffset>
                </wp:positionV>
                <wp:extent cx="1940560" cy="409575"/>
                <wp:effectExtent l="0" t="38100" r="59690" b="28575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3882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26" style="position:absolute;margin-left:147.75pt;margin-top:-5.9pt;width:152.8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" fillcolor="#d8d8d8">
                <v:shadow on="t" opacity=".5" offset="3pt,-3pt"/>
              </v:roundrect>
            </w:pict>
          </mc:Fallback>
        </mc:AlternateContent>
      </w:r>
      <w:r w:rsidR="0052562B" w:rsidRPr="0096089B">
        <w:rPr>
          <w:rFonts w:ascii="TH SarabunPSK" w:hAnsi="TH SarabunPSK" w:cs="TH SarabunPSK"/>
          <w:b/>
          <w:bCs/>
          <w:szCs w:val="32"/>
          <w:cs/>
        </w:rPr>
        <w:t>ลักษณะสำคัญขององค์การ</w:t>
      </w:r>
    </w:p>
    <w:p w:rsidR="0052562B" w:rsidRDefault="0052562B" w:rsidP="0052562B">
      <w:pPr>
        <w:pStyle w:val="NormalWeb"/>
        <w:spacing w:before="0" w:beforeAutospacing="0" w:after="0" w:afterAutospacing="0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pStyle w:val="NormalWeb"/>
        <w:spacing w:before="0" w:beforeAutospacing="0" w:after="0" w:afterAutospacing="0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ลักษณะสำคัญขององค์การ คือ ภาพรวมของส่วนราชการ สิ่งสำคัญที่มีอิทธิพลต่อวิธีการดำเนินงานและความท้าทายสำคัญที่ส่วนราชการเผชิญอยู่</w:t>
      </w:r>
    </w:p>
    <w:p w:rsidR="0052562B" w:rsidRPr="0096089B" w:rsidRDefault="0052562B" w:rsidP="0052562B">
      <w:pPr>
        <w:pStyle w:val="NormalWeb"/>
        <w:tabs>
          <w:tab w:val="left" w:pos="9000"/>
        </w:tabs>
        <w:spacing w:before="240" w:beforeAutospacing="0" w:after="240" w:afterAutospacing="0"/>
        <w:ind w:right="119"/>
        <w:jc w:val="center"/>
        <w:rPr>
          <w:rFonts w:ascii="TH SarabunPSK" w:hAnsi="TH SarabunPSK" w:cs="TH SarabunPSK"/>
          <w:bCs/>
          <w:iCs/>
          <w:sz w:val="32"/>
          <w:szCs w:val="32"/>
        </w:rPr>
      </w:pPr>
      <w:r w:rsidRPr="0096089B">
        <w:rPr>
          <w:rFonts w:ascii="TH SarabunPSK" w:hAnsi="TH SarabunPSK" w:cs="TH SarabunPSK"/>
          <w:bCs/>
          <w:iCs/>
          <w:sz w:val="32"/>
          <w:szCs w:val="32"/>
          <w:cs/>
        </w:rPr>
        <w:t>กรุณาตอบคำถามดังต่อไปนี้</w:t>
      </w:r>
    </w:p>
    <w:p w:rsidR="0052562B" w:rsidRPr="0096089B" w:rsidRDefault="0052562B" w:rsidP="0052562B">
      <w:pPr>
        <w:shd w:val="clear" w:color="auto" w:fill="FBD4B4" w:themeFill="accent6" w:themeFillTint="66"/>
        <w:spacing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>1. ลักษณะองค์การ : คุณลักษณะสำคัญของสวนราชการคืออะไร</w:t>
      </w:r>
    </w:p>
    <w:p w:rsidR="0052562B" w:rsidRPr="0096089B" w:rsidRDefault="0052562B" w:rsidP="0052562B">
      <w:pPr>
        <w:spacing w:before="240"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ให้อธิบายถึงสภาพแวดล้อมการดำเนินงานของสวนราชการและความสัมพันธ์ที่สำคัญกับผู้รับบริการและผู้มีสวนได้สวนเสียสวนราชการอื่น และประชาชนโดยรวม</w:t>
      </w:r>
    </w:p>
    <w:p w:rsidR="0052562B" w:rsidRPr="0096089B" w:rsidRDefault="0052562B" w:rsidP="0052562B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52562B" w:rsidRDefault="0052562B" w:rsidP="0052562B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ให้ส่วนราชการตอบคำถามต่อไปนี้</w:t>
      </w:r>
    </w:p>
    <w:p w:rsidR="0052562B" w:rsidRPr="0096089B" w:rsidRDefault="0052562B" w:rsidP="0052562B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hd w:val="clear" w:color="auto" w:fill="FDE9D9" w:themeFill="accent6" w:themeFillTint="33"/>
        <w:spacing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สภาพแวดล้อมของสวนราชการ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(1)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พันธกิจหรือหน้าที่ตามกฎหมาย 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พันธกิจหรือหน้าที่หลักตามกฎหมายของส่วนราชการคืออะไรบ้าง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ความสำคัญเชิงเปรียบเทียบของพันธกิจหรือหน้าที่ต่อความสำเร็จของส่วนราชการคืออะไร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กลไก/วิธีการที่ส่วนราชการใช้ในการส่งมอบผลผลิตและบริการตามพันธกิจคืออะไร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(2)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วิสัยทัศน์และคานิยม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เป้าประสงค์ วิสัยทัศน์ และค่านิยม ของส่วนราชการที่ได้ประกาศไว้คืออะไร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</w:r>
      <w:r w:rsidRPr="0096089B">
        <w:rPr>
          <w:rFonts w:ascii="TH SarabunPSK" w:hAnsi="TH SarabunPSK" w:cs="TH SarabunPSK"/>
          <w:spacing w:val="-8"/>
          <w:sz w:val="32"/>
          <w:szCs w:val="32"/>
          <w:cs/>
        </w:rPr>
        <w:t>สมรรถนะหลักของส่วนราชการคืออะไร และมีความเกี่ยวข้องอย่างไรกับพันธกิจของส่วนราชการ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(3)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ลักษณะโดยรวมของบุคลากร 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ลักษณะโดยรวมของบุคลากรในส่วนราชการเป็นอย่างไร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 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มีการจำแนกบุคลากรออกเป็นกลุ่มและประเภทอะไรบ้าง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อะไรคือข้อกำหนดพื้นฐานด้านการศึกษาสำหรับกลุ่มบุคลากรประเภทต่าง ๆ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องค์ประกอบสำคัญที่ทำให้บุคลากรเหล่านี้มีส่วนร่วมในการทำงานเพื่อบรรลุพันธกิจและวิสัยทัศน์ของส่วนราชการคืออะไร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ในการทำงานจำเป็นต้องมีข้อกำหนดด้านสุขภาพและความปลอดภัยที่เป็นเรื่องเฉพาะของส่วนราชการอะไรบ้าง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(4)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สินทรัพย์ 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ส่วนราชการมีอาคารสถานที่ เทคโนโลยี และอุปกรณ์ที่สำคัญอะไรบ้าง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(5)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กฎหมาย กฎระเบียบ และข้อบังคับ </w:t>
      </w:r>
    </w:p>
    <w:p w:rsidR="0052562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ส่วนราชการดำเนินการภายใต้สภาพแวดล้อมด้านกฎหมาย กฎระเบียบ และข้อบังคับที่สำคัญอะไรบ้าง</w:t>
      </w:r>
    </w:p>
    <w:p w:rsidR="0052562B" w:rsidRDefault="0052562B" w:rsidP="0052562B">
      <w:pPr>
        <w:ind w:right="1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52562B" w:rsidRPr="0096089B" w:rsidRDefault="0052562B" w:rsidP="0052562B">
      <w:pPr>
        <w:shd w:val="clear" w:color="auto" w:fill="FDE9D9" w:themeFill="accent6" w:themeFillTint="33"/>
        <w:spacing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ข. ความสัมพันธ์ระดับองค์การ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(6)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โครงสร้างองค์การ 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โครงสร้างและระบบการกำกับดูแลของส่วนราชการมีลักษณะอย่างไร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ระบบการรายงานระหว่างคณะกรรมการกำกับดูแลส่วนราชการ ผู้บริหารส่วนราชการ และส่วนราชการที่กำกับมีลักษณะเช่นใด (*)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(7)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ผู้รับบริการและผู้มีสวนได้สวนเสีย 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กลุ่มผู้รับบริการและกลุ่มผู้มีส่วนได้ส่วนเสียที่สำคัญของส่วนราชการมีอะไรบ้าง (*)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กลุ่มดังกล่าวมีความต้องการและความคาดหวังที่สำคัญต่อผลผลิต ต่อการบริการที่มีให้ และต่อการปฏิบัติการของส่วนราชการอย่างไร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ความต้องการและความคาดหวังของแต่ละกลุ่มมีความแตกต่างกันอย่างไร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(8)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สวนราชการหรือองค์การที่เกี่ยวข้องกันในการให้บริการหรือสงมอบงานตอกัน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ส่วนราชการหรือองค์การที่เกี่ยวข้องกันในการให้บริการหรือส่งมอบงานต่อกัน ที่สำคัญมีหน่วยงานใดบ้างและมีบทบาทอย่างไรในระบบงานของส่วนราชการ โดยเฉพาะอย่างยิ่งในการปฏิบัติตามภาระหน้าที่ของส่วนราชการ และการยกระดับความสามารถในการแข่งขันของประเทศ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</w:r>
      <w:r w:rsidRPr="0096089B">
        <w:rPr>
          <w:rFonts w:ascii="TH SarabunPSK" w:hAnsi="TH SarabunPSK" w:cs="TH SarabunPSK"/>
          <w:spacing w:val="6"/>
          <w:sz w:val="32"/>
          <w:szCs w:val="32"/>
          <w:cs/>
        </w:rPr>
        <w:t>หน่วยงานที่เกี่ยวข้องดังกล่าวมีส่วนร่วมหรือบทบาทอะไรในการสร้างนวัตกรรมให้แก่</w:t>
      </w:r>
      <w:r w:rsidRPr="0096089B">
        <w:rPr>
          <w:rFonts w:ascii="TH SarabunPSK" w:hAnsi="TH SarabunPSK" w:cs="TH SarabunPSK"/>
          <w:sz w:val="32"/>
          <w:szCs w:val="32"/>
          <w:cs/>
        </w:rPr>
        <w:t>ส่วนราชการ (*)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กลไกที่สำคัญในการสื่อสาร และข้อกำหนดสำคัญในการปฏิบัติงานร่วมกันมีอะไรบ้าง</w:t>
      </w:r>
    </w:p>
    <w:p w:rsidR="0052562B" w:rsidRPr="0096089B" w:rsidRDefault="0052562B" w:rsidP="0052562B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hd w:val="clear" w:color="auto" w:fill="FBD4B4" w:themeFill="accent6" w:themeFillTint="66"/>
        <w:spacing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>2. สภาวการณ์ขององค์การ: สภาวการณ์เชิงยุทธศาสตร์ของสวนราชการเป็นเชนใด</w:t>
      </w:r>
    </w:p>
    <w:p w:rsidR="0052562B" w:rsidRPr="0096089B" w:rsidRDefault="0052562B" w:rsidP="0052562B">
      <w:pPr>
        <w:spacing w:before="240"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ให้อธิบายถึงสภาพแวดล้อมด้านการแขงขัน ความท้าทาย ความได้เปรียบเชิงยุทธศาสตร์ที่สำคัญ และระบบการปรับปรุงผลการดำเนินการของสวนราชการ</w:t>
      </w:r>
    </w:p>
    <w:p w:rsidR="0052562B" w:rsidRPr="0096089B" w:rsidRDefault="0052562B" w:rsidP="0052562B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52562B" w:rsidRDefault="0052562B" w:rsidP="0052562B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ให้ส่วนราชการตอบคำถามต่อไปนี้</w:t>
      </w:r>
    </w:p>
    <w:p w:rsidR="0052562B" w:rsidRPr="0096089B" w:rsidRDefault="0052562B" w:rsidP="0052562B">
      <w:pPr>
        <w:spacing w:after="0" w:line="240" w:lineRule="auto"/>
        <w:ind w:right="119"/>
        <w:jc w:val="thaiDistribute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hd w:val="clear" w:color="auto" w:fill="FDE9D9" w:themeFill="accent6" w:themeFillTint="33"/>
        <w:spacing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>ก. สภาพแวดล้อมด้านการแขงขัน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(9)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สภาพแวดล้อมด้านการแขงขันทั้งภายในและภายนอกประเทศ 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สภาพแวดล้อมด้านการแข่งขันทั้งภายในและภายนอกประเทศของส่วนราชการเป็นเช่นใดประเภทการแข่งขันและจำนวนคู่แข่งขันในแต่ละประเภทเป็นเช่นใด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ประเด็นการแข่งขันคืออะไร และผลการดำเนินการปัจจุบันของส่วนราชการในประเด็นดังกล่าวเมื่อเปรียบเทียบกับคู่แข่งเป็นอย่างไร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(10)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การเปลี่ยนแปลงด้านการแขงขัน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การเปลี่ยนแปลงที่สำคัญ (ถ้ามี) ซึ่งมีผลต่อสถานการณ์แข่งขันของส่วนราชการ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รวมถึงการเปลี่ยนแปลงที่สร้างโอกาส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สำหรับการสร้างนวัตกรรมและความร่วมมือคืออะไร (*)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(11)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แหลงข้อมูลเชิงเปรียบเทียบ 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แหล่งข้อมูลสำคัญสำหรับข้อมูลเชิงเปรียบเทียบ และเชิงแข่งขันในลักษณะเดียวกันมีอะไรบ้าง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lastRenderedPageBreak/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แหล่งข้อมูลสำคัญสำหรับข้อมูลเชิงเปรียบเทียบจากหน่วยงานอื่น ๆ ทั้งในส่วนราชการ นอกส่วนราชการและจากต่างประเภทกันมีอะไรบ้าง</w:t>
      </w:r>
    </w:p>
    <w:p w:rsidR="0052562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มีข้อจำกัดอะไร (ถ้ามี) ในการได้มาซึ่งข้อมูลเหล่านี้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hd w:val="clear" w:color="auto" w:fill="FDE9D9" w:themeFill="accent6" w:themeFillTint="33"/>
        <w:spacing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บริบทเชิงยุทธศาสตร์ 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(12)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>ความท้าทายเชิงยุทธศาสตร์และความได้เปรียบเชิงยุทธศาสตร์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</w:r>
      <w:r w:rsidRPr="0096089B">
        <w:rPr>
          <w:rFonts w:ascii="TH SarabunPSK" w:hAnsi="TH SarabunPSK" w:cs="TH SarabunPSK"/>
          <w:spacing w:val="-6"/>
          <w:sz w:val="32"/>
          <w:szCs w:val="32"/>
          <w:cs/>
        </w:rPr>
        <w:t>ความท้าทายเชิงยุทธศาสตร์และความได้เปรียบเชิงยุทธศาสตร์ของส่วนราชการในด้านพันธกิจด้านการปฏิบัติการ</w:t>
      </w:r>
      <w:r w:rsidRPr="0096089B">
        <w:rPr>
          <w:rFonts w:ascii="TH SarabunPSK" w:hAnsi="TH SarabunPSK" w:cs="TH SarabunPSK"/>
          <w:sz w:val="32"/>
          <w:szCs w:val="32"/>
          <w:cs/>
        </w:rPr>
        <w:t xml:space="preserve"> ด้านความรับผิดชอบต่อสังคม และด้านบุคลากร คืออะไร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2562B" w:rsidRPr="0096089B" w:rsidRDefault="0052562B" w:rsidP="0052562B">
      <w:pPr>
        <w:shd w:val="clear" w:color="auto" w:fill="FDE9D9" w:themeFill="accent6" w:themeFillTint="33"/>
        <w:spacing w:after="0" w:line="240" w:lineRule="auto"/>
        <w:ind w:right="1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6089B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ระบบการปรับปรุงผลการดำเนินการ 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>(13)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ระบบการปรับปรุงผลการดำเนินการ </w:t>
      </w:r>
    </w:p>
    <w:p w:rsidR="0052562B" w:rsidRPr="0096089B" w:rsidRDefault="0052562B" w:rsidP="0052562B">
      <w:pPr>
        <w:tabs>
          <w:tab w:val="left" w:pos="1134"/>
        </w:tabs>
        <w:spacing w:after="0" w:line="240" w:lineRule="auto"/>
        <w:ind w:right="11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89B">
        <w:rPr>
          <w:rFonts w:ascii="TH SarabunPSK" w:hAnsi="TH SarabunPSK" w:cs="TH SarabunPSK"/>
          <w:sz w:val="32"/>
          <w:szCs w:val="32"/>
          <w:cs/>
        </w:rPr>
        <w:tab/>
        <w:t>-</w:t>
      </w:r>
      <w:r w:rsidRPr="0096089B">
        <w:rPr>
          <w:rFonts w:ascii="TH SarabunPSK" w:hAnsi="TH SarabunPSK" w:cs="TH SarabunPSK"/>
          <w:sz w:val="32"/>
          <w:szCs w:val="32"/>
          <w:cs/>
        </w:rPr>
        <w:tab/>
        <w:t xml:space="preserve">องค์ประกอบสำคัญของระบบการปรับปรุงผลการดำเนินการ รวมทั้งกระบวนการประเมินการปรับปรุงโครงการและกระบวนการที่สำคัญของส่วนราชการมีอะไรบ้าง </w:t>
      </w:r>
    </w:p>
    <w:p w:rsidR="0052562B" w:rsidRPr="0096089B" w:rsidRDefault="00D63E16" w:rsidP="0052562B">
      <w:pPr>
        <w:spacing w:after="0" w:line="240" w:lineRule="auto"/>
        <w:ind w:right="11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539115</wp:posOffset>
                </wp:positionV>
                <wp:extent cx="2409825" cy="0"/>
                <wp:effectExtent l="9525" t="9525" r="952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13.25pt;margin-top:42.45pt;width:18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yO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"/>
            </w:pict>
          </mc:Fallback>
        </mc:AlternateContent>
      </w:r>
    </w:p>
    <w:sectPr w:rsidR="0052562B" w:rsidRPr="0096089B" w:rsidSect="00C13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21B1"/>
    <w:multiLevelType w:val="hybridMultilevel"/>
    <w:tmpl w:val="6100904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2866FC"/>
    <w:multiLevelType w:val="hybridMultilevel"/>
    <w:tmpl w:val="6346F792"/>
    <w:lvl w:ilvl="0" w:tplc="5B20524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71E53A32"/>
    <w:multiLevelType w:val="hybridMultilevel"/>
    <w:tmpl w:val="850C8A4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2B"/>
    <w:rsid w:val="002F2DDD"/>
    <w:rsid w:val="003313BD"/>
    <w:rsid w:val="00367C3A"/>
    <w:rsid w:val="0052562B"/>
    <w:rsid w:val="00C1350E"/>
    <w:rsid w:val="00D6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2B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paragraph" w:styleId="NormalWeb">
    <w:name w:val="Normal (Web)"/>
    <w:basedOn w:val="Normal"/>
    <w:uiPriority w:val="99"/>
    <w:unhideWhenUsed/>
    <w:rsid w:val="005256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2B"/>
    <w:pPr>
      <w:spacing w:after="0" w:line="240" w:lineRule="auto"/>
      <w:ind w:left="720"/>
      <w:contextualSpacing/>
    </w:pPr>
    <w:rPr>
      <w:rFonts w:ascii="Times New Roman" w:hAnsi="Times New Roman" w:cs="Angsana New"/>
      <w:sz w:val="24"/>
      <w:szCs w:val="30"/>
    </w:rPr>
  </w:style>
  <w:style w:type="paragraph" w:styleId="NormalWeb">
    <w:name w:val="Normal (Web)"/>
    <w:basedOn w:val="Normal"/>
    <w:uiPriority w:val="99"/>
    <w:unhideWhenUsed/>
    <w:rsid w:val="005256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M300-95</dc:creator>
  <cp:lastModifiedBy>Samsung</cp:lastModifiedBy>
  <cp:revision>2</cp:revision>
  <dcterms:created xsi:type="dcterms:W3CDTF">2017-10-04T02:25:00Z</dcterms:created>
  <dcterms:modified xsi:type="dcterms:W3CDTF">2017-10-04T02:25:00Z</dcterms:modified>
</cp:coreProperties>
</file>